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D3" w:rsidRPr="003F37F4" w:rsidRDefault="00A565D3" w:rsidP="00A565D3">
      <w:pPr>
        <w:spacing w:after="0"/>
        <w:ind w:firstLine="720"/>
        <w:jc w:val="right"/>
        <w:rPr>
          <w:rFonts w:ascii="Arial" w:hAnsi="Arial" w:cs="Arial"/>
          <w:color w:val="FFFFFF" w:themeColor="background1"/>
          <w:lang w:val="sr-Cyrl-RS"/>
        </w:rPr>
      </w:pPr>
      <w:bookmarkStart w:id="0" w:name="_GoBack"/>
      <w:r w:rsidRPr="003F37F4">
        <w:rPr>
          <w:rFonts w:ascii="Arial" w:hAnsi="Arial" w:cs="Arial"/>
          <w:color w:val="FFFFFF" w:themeColor="background1"/>
          <w:lang w:val="sr-Cyrl-RS"/>
        </w:rPr>
        <w:t>Нацрт</w:t>
      </w:r>
    </w:p>
    <w:bookmarkEnd w:id="0"/>
    <w:p w:rsidR="00A565D3" w:rsidRDefault="00A565D3" w:rsidP="00A565D3">
      <w:pPr>
        <w:spacing w:after="0"/>
        <w:ind w:firstLine="720"/>
        <w:jc w:val="right"/>
        <w:rPr>
          <w:rFonts w:ascii="Arial" w:hAnsi="Arial" w:cs="Arial"/>
          <w:lang w:val="sr-Cyrl-RS"/>
        </w:rPr>
      </w:pPr>
    </w:p>
    <w:p w:rsidR="0080341D" w:rsidRPr="00C90919" w:rsidRDefault="00E10725" w:rsidP="001A3606">
      <w:pPr>
        <w:spacing w:after="0"/>
        <w:ind w:firstLine="720"/>
        <w:jc w:val="both"/>
        <w:rPr>
          <w:rFonts w:ascii="Arial" w:hAnsi="Arial" w:cs="Arial"/>
          <w:lang w:val="sr-Cyrl-RS"/>
        </w:rPr>
      </w:pPr>
      <w:r w:rsidRPr="00C90919">
        <w:rPr>
          <w:rFonts w:ascii="Arial" w:hAnsi="Arial" w:cs="Arial"/>
          <w:lang w:val="sr-Cyrl-RS"/>
        </w:rPr>
        <w:t xml:space="preserve">На основу члана </w:t>
      </w:r>
      <w:r w:rsidR="009E0613">
        <w:rPr>
          <w:rFonts w:ascii="Arial" w:hAnsi="Arial" w:cs="Arial"/>
          <w:lang w:val="sr-Latn-CS"/>
        </w:rPr>
        <w:t>36</w:t>
      </w:r>
      <w:r w:rsidR="00CB6675">
        <w:rPr>
          <w:rFonts w:ascii="Arial" w:hAnsi="Arial" w:cs="Arial"/>
          <w:lang w:val="sr-Cyrl-CS"/>
        </w:rPr>
        <w:t xml:space="preserve">. </w:t>
      </w:r>
      <w:r w:rsidRPr="00C90919">
        <w:rPr>
          <w:rFonts w:ascii="Arial" w:hAnsi="Arial" w:cs="Arial"/>
          <w:lang w:val="sr-Cyrl-RS"/>
        </w:rPr>
        <w:t>Закона о</w:t>
      </w:r>
      <w:r w:rsidR="009E0613">
        <w:rPr>
          <w:rFonts w:ascii="Arial" w:hAnsi="Arial" w:cs="Arial"/>
          <w:lang w:val="sr-Latn-CS"/>
        </w:rPr>
        <w:t xml:space="preserve"> </w:t>
      </w:r>
      <w:r w:rsidR="009E0613">
        <w:rPr>
          <w:rFonts w:ascii="Arial" w:hAnsi="Arial" w:cs="Arial"/>
          <w:lang w:val="sr-Cyrl-CS"/>
        </w:rPr>
        <w:t>изменама и допунама Закона</w:t>
      </w:r>
      <w:r w:rsidRPr="00C90919">
        <w:rPr>
          <w:rFonts w:ascii="Arial" w:hAnsi="Arial" w:cs="Arial"/>
          <w:lang w:val="sr-Cyrl-RS"/>
        </w:rPr>
        <w:t xml:space="preserve"> порезима на имовину (''Службени гласник РС'' број 47/2013) и члана 37. Статута Града Ниша (''Службени лист Града Ниша'', број 88/2008)</w:t>
      </w:r>
      <w:r w:rsidR="0080341D" w:rsidRPr="00C90919">
        <w:rPr>
          <w:rFonts w:ascii="Arial" w:hAnsi="Arial" w:cs="Arial"/>
          <w:lang w:val="sr-Cyrl-RS"/>
        </w:rPr>
        <w:t>,</w:t>
      </w:r>
      <w:r w:rsidR="001A3606">
        <w:rPr>
          <w:rFonts w:ascii="Arial" w:hAnsi="Arial" w:cs="Arial"/>
          <w:lang w:val="sr-Cyrl-RS"/>
        </w:rPr>
        <w:t xml:space="preserve"> </w:t>
      </w:r>
      <w:r w:rsidR="0080341D" w:rsidRPr="00C90919">
        <w:rPr>
          <w:rFonts w:ascii="Arial" w:hAnsi="Arial" w:cs="Arial"/>
          <w:lang w:val="sr-Cyrl-RS"/>
        </w:rPr>
        <w:t>Скупштина Града Ниша, на седници одржаној дана ___________2013.</w:t>
      </w:r>
      <w:r w:rsidR="00FE6514">
        <w:rPr>
          <w:rFonts w:ascii="Arial" w:hAnsi="Arial" w:cs="Arial"/>
          <w:lang w:val="sr-Latn-CS"/>
        </w:rPr>
        <w:t xml:space="preserve"> </w:t>
      </w:r>
      <w:r w:rsidR="0080341D" w:rsidRPr="00C90919">
        <w:rPr>
          <w:rFonts w:ascii="Arial" w:hAnsi="Arial" w:cs="Arial"/>
          <w:lang w:val="sr-Cyrl-RS"/>
        </w:rPr>
        <w:t>године, донела је:</w:t>
      </w:r>
    </w:p>
    <w:p w:rsidR="0080341D" w:rsidRDefault="0080341D" w:rsidP="0080341D">
      <w:pPr>
        <w:spacing w:after="0"/>
        <w:jc w:val="both"/>
        <w:rPr>
          <w:rFonts w:ascii="Arial" w:hAnsi="Arial" w:cs="Arial"/>
          <w:lang w:val="sr-Latn-CS"/>
        </w:rPr>
      </w:pPr>
    </w:p>
    <w:p w:rsidR="00F942F5" w:rsidRPr="00F942F5" w:rsidRDefault="00F942F5" w:rsidP="0080341D">
      <w:pPr>
        <w:spacing w:after="0"/>
        <w:jc w:val="both"/>
        <w:rPr>
          <w:rFonts w:ascii="Arial" w:hAnsi="Arial" w:cs="Arial"/>
          <w:color w:val="FF0000"/>
          <w:lang w:val="sr-Cyrl-RS"/>
        </w:rPr>
      </w:pPr>
    </w:p>
    <w:p w:rsidR="0080341D" w:rsidRDefault="0080341D" w:rsidP="0080341D">
      <w:pPr>
        <w:spacing w:after="0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596573">
        <w:rPr>
          <w:rFonts w:ascii="Arial" w:hAnsi="Arial" w:cs="Arial"/>
          <w:b/>
          <w:color w:val="000000" w:themeColor="text1"/>
          <w:lang w:val="sr-Cyrl-RS"/>
        </w:rPr>
        <w:t>О  Д  Л  У  К  У</w:t>
      </w:r>
    </w:p>
    <w:p w:rsidR="00BA7286" w:rsidRPr="00BA7286" w:rsidRDefault="00BA7286" w:rsidP="0080341D">
      <w:pPr>
        <w:spacing w:after="0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:rsidR="00F942F5" w:rsidRPr="00596573" w:rsidRDefault="00F942F5" w:rsidP="0080341D">
      <w:pPr>
        <w:spacing w:after="0"/>
        <w:jc w:val="center"/>
        <w:rPr>
          <w:rFonts w:ascii="Arial" w:hAnsi="Arial" w:cs="Arial"/>
          <w:b/>
          <w:color w:val="000000" w:themeColor="text1"/>
          <w:lang w:val="sr-Cyrl-RS"/>
        </w:rPr>
      </w:pPr>
    </w:p>
    <w:p w:rsidR="001A3606" w:rsidRDefault="00AA6041" w:rsidP="0080341D">
      <w:pPr>
        <w:spacing w:after="0"/>
        <w:jc w:val="center"/>
        <w:rPr>
          <w:rFonts w:ascii="Arial" w:hAnsi="Arial" w:cs="Arial"/>
          <w:b/>
          <w:color w:val="000000" w:themeColor="text1"/>
          <w:lang w:val="sr-Cyrl-RS"/>
        </w:rPr>
      </w:pPr>
      <w:r>
        <w:rPr>
          <w:rFonts w:ascii="Arial" w:hAnsi="Arial" w:cs="Arial"/>
          <w:b/>
          <w:color w:val="000000" w:themeColor="text1"/>
          <w:lang w:val="sr-Cyrl-RS"/>
        </w:rPr>
        <w:t xml:space="preserve">О </w:t>
      </w:r>
      <w:r w:rsidR="001A3606">
        <w:rPr>
          <w:rFonts w:ascii="Arial" w:hAnsi="Arial" w:cs="Arial"/>
          <w:b/>
          <w:color w:val="000000" w:themeColor="text1"/>
          <w:lang w:val="sr-Cyrl-RS"/>
        </w:rPr>
        <w:t>ОБАВЕЗИ ПОДНОШЕЊА ПОРЕСКИХ ПРИЈАВА ЗА УТВРЂИВАЊЕ ПОРЕЗА НА ИМОВИНУ НА НЕПОКРЕТНОСТИ ОБВЕЗНИКА КОЈИ НЕ ВОДЕ ПОСЛОВНЕ КЊИГЕ,</w:t>
      </w:r>
    </w:p>
    <w:p w:rsidR="00B22B0E" w:rsidRPr="00C90919" w:rsidRDefault="001A3606" w:rsidP="0080341D">
      <w:pPr>
        <w:spacing w:after="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color w:val="000000" w:themeColor="text1"/>
          <w:lang w:val="sr-Cyrl-RS"/>
        </w:rPr>
        <w:t xml:space="preserve"> КОЈЕ СЕ НАЛАЗЕ НА ТЕРИТОРИЈИ ГРАДА НИША</w:t>
      </w:r>
    </w:p>
    <w:p w:rsidR="00F942F5" w:rsidRDefault="00F942F5" w:rsidP="0080341D">
      <w:pPr>
        <w:spacing w:after="0"/>
        <w:jc w:val="both"/>
        <w:rPr>
          <w:rFonts w:ascii="Arial" w:hAnsi="Arial" w:cs="Arial"/>
          <w:lang w:val="sr-Latn-CS"/>
        </w:rPr>
      </w:pPr>
    </w:p>
    <w:p w:rsidR="00BA7286" w:rsidRPr="00BA7286" w:rsidRDefault="00BA7286" w:rsidP="0080341D">
      <w:pPr>
        <w:spacing w:after="0"/>
        <w:jc w:val="both"/>
        <w:rPr>
          <w:rFonts w:ascii="Arial" w:hAnsi="Arial" w:cs="Arial"/>
          <w:lang w:val="sr-Latn-CS"/>
        </w:rPr>
      </w:pPr>
    </w:p>
    <w:p w:rsidR="0080341D" w:rsidRDefault="0080341D" w:rsidP="00C90919">
      <w:pPr>
        <w:spacing w:after="0"/>
        <w:jc w:val="center"/>
        <w:rPr>
          <w:rFonts w:ascii="Arial" w:hAnsi="Arial" w:cs="Arial"/>
          <w:b/>
          <w:lang w:val="sr-Cyrl-RS"/>
        </w:rPr>
      </w:pPr>
      <w:r w:rsidRPr="00C90919">
        <w:rPr>
          <w:rFonts w:ascii="Arial" w:hAnsi="Arial" w:cs="Arial"/>
          <w:b/>
          <w:lang w:val="sr-Cyrl-RS"/>
        </w:rPr>
        <w:t>Члан 1.</w:t>
      </w:r>
    </w:p>
    <w:p w:rsidR="0080341D" w:rsidRPr="00C90919" w:rsidRDefault="0080341D" w:rsidP="0080341D">
      <w:pPr>
        <w:spacing w:after="0"/>
        <w:jc w:val="both"/>
        <w:rPr>
          <w:rFonts w:ascii="Arial" w:hAnsi="Arial" w:cs="Arial"/>
          <w:lang w:val="sr-Cyrl-RS"/>
        </w:rPr>
      </w:pPr>
    </w:p>
    <w:p w:rsidR="0080341D" w:rsidRDefault="00561268" w:rsidP="00B26259">
      <w:pPr>
        <w:spacing w:after="0"/>
        <w:ind w:firstLine="720"/>
        <w:jc w:val="both"/>
        <w:rPr>
          <w:rFonts w:ascii="Arial" w:hAnsi="Arial" w:cs="Arial"/>
          <w:color w:val="000000" w:themeColor="text1"/>
          <w:lang w:val="sr-Latn-CS"/>
        </w:rPr>
      </w:pPr>
      <w:r w:rsidRPr="00596573">
        <w:rPr>
          <w:rFonts w:ascii="Arial" w:hAnsi="Arial" w:cs="Arial"/>
          <w:color w:val="000000" w:themeColor="text1"/>
          <w:lang w:val="sr-Cyrl-RS"/>
        </w:rPr>
        <w:t xml:space="preserve">Овом </w:t>
      </w:r>
      <w:r w:rsidR="00BB2C01">
        <w:rPr>
          <w:rFonts w:ascii="Arial" w:hAnsi="Arial" w:cs="Arial"/>
          <w:color w:val="000000" w:themeColor="text1"/>
          <w:lang w:val="sr-Cyrl-RS"/>
        </w:rPr>
        <w:t>О</w:t>
      </w:r>
      <w:r w:rsidRPr="00596573">
        <w:rPr>
          <w:rFonts w:ascii="Arial" w:hAnsi="Arial" w:cs="Arial"/>
          <w:color w:val="000000" w:themeColor="text1"/>
          <w:lang w:val="sr-Cyrl-RS"/>
        </w:rPr>
        <w:t xml:space="preserve">длуком </w:t>
      </w:r>
      <w:r w:rsidR="00E85AF8">
        <w:rPr>
          <w:rFonts w:ascii="Arial" w:hAnsi="Arial" w:cs="Arial"/>
          <w:color w:val="000000" w:themeColor="text1"/>
          <w:lang w:val="sr-Cyrl-RS"/>
        </w:rPr>
        <w:t xml:space="preserve">уводи се обавеза подношења пореских пријава за утврђивање пореза на имовину на </w:t>
      </w:r>
      <w:r w:rsidR="00E85AF8" w:rsidRPr="00BB2C01">
        <w:rPr>
          <w:rFonts w:ascii="Arial" w:hAnsi="Arial" w:cs="Arial"/>
          <w:b/>
          <w:lang w:val="sr-Cyrl-RS"/>
        </w:rPr>
        <w:t>грађевинско</w:t>
      </w:r>
      <w:r w:rsidR="00E85AF8" w:rsidRPr="00622C9D">
        <w:rPr>
          <w:rFonts w:ascii="Arial" w:hAnsi="Arial" w:cs="Arial"/>
          <w:b/>
          <w:lang w:val="sr-Cyrl-RS"/>
        </w:rPr>
        <w:t>,</w:t>
      </w:r>
      <w:r w:rsidR="00E85AF8" w:rsidRPr="002258F8">
        <w:rPr>
          <w:rFonts w:ascii="Arial" w:hAnsi="Arial" w:cs="Arial"/>
          <w:b/>
          <w:color w:val="000000" w:themeColor="text1"/>
          <w:lang w:val="sr-Cyrl-RS"/>
        </w:rPr>
        <w:t xml:space="preserve"> по</w:t>
      </w:r>
      <w:r w:rsidR="002258F8" w:rsidRPr="002258F8">
        <w:rPr>
          <w:rFonts w:ascii="Arial" w:hAnsi="Arial" w:cs="Arial"/>
          <w:b/>
          <w:color w:val="000000" w:themeColor="text1"/>
          <w:lang w:val="sr-Cyrl-RS"/>
        </w:rPr>
        <w:t>љ</w:t>
      </w:r>
      <w:r w:rsidR="00E85AF8" w:rsidRPr="002258F8">
        <w:rPr>
          <w:rFonts w:ascii="Arial" w:hAnsi="Arial" w:cs="Arial"/>
          <w:b/>
          <w:color w:val="000000" w:themeColor="text1"/>
          <w:lang w:val="sr-Cyrl-RS"/>
        </w:rPr>
        <w:t>оп</w:t>
      </w:r>
      <w:r w:rsidR="002258F8" w:rsidRPr="002258F8">
        <w:rPr>
          <w:rFonts w:ascii="Arial" w:hAnsi="Arial" w:cs="Arial"/>
          <w:b/>
          <w:color w:val="000000" w:themeColor="text1"/>
          <w:lang w:val="sr-Cyrl-RS"/>
        </w:rPr>
        <w:t>р</w:t>
      </w:r>
      <w:r w:rsidR="00E85AF8" w:rsidRPr="002258F8">
        <w:rPr>
          <w:rFonts w:ascii="Arial" w:hAnsi="Arial" w:cs="Arial"/>
          <w:b/>
          <w:color w:val="000000" w:themeColor="text1"/>
          <w:lang w:val="sr-Cyrl-RS"/>
        </w:rPr>
        <w:t>ивредно и шумско земљиште</w:t>
      </w:r>
      <w:r w:rsidR="00E85AF8">
        <w:rPr>
          <w:rFonts w:ascii="Arial" w:hAnsi="Arial" w:cs="Arial"/>
          <w:color w:val="000000" w:themeColor="text1"/>
          <w:lang w:val="sr-Cyrl-RS"/>
        </w:rPr>
        <w:t xml:space="preserve"> које се налазе на територији Града Ниша</w:t>
      </w:r>
      <w:r w:rsidR="0080341D" w:rsidRPr="00596573">
        <w:rPr>
          <w:rFonts w:ascii="Arial" w:hAnsi="Arial" w:cs="Arial"/>
          <w:color w:val="000000" w:themeColor="text1"/>
          <w:lang w:val="sr-Cyrl-RS"/>
        </w:rPr>
        <w:t>.</w:t>
      </w:r>
    </w:p>
    <w:p w:rsidR="00BA7286" w:rsidRPr="00BA7286" w:rsidRDefault="00BA7286" w:rsidP="00B26259">
      <w:pPr>
        <w:spacing w:after="0"/>
        <w:ind w:firstLine="720"/>
        <w:jc w:val="both"/>
        <w:rPr>
          <w:rFonts w:ascii="Arial" w:hAnsi="Arial" w:cs="Arial"/>
          <w:color w:val="000000" w:themeColor="text1"/>
          <w:lang w:val="sr-Latn-CS"/>
        </w:rPr>
      </w:pPr>
    </w:p>
    <w:p w:rsidR="0080341D" w:rsidRDefault="00EA25F1" w:rsidP="00C90919">
      <w:pPr>
        <w:spacing w:after="0"/>
        <w:jc w:val="center"/>
        <w:rPr>
          <w:rFonts w:ascii="Arial" w:hAnsi="Arial" w:cs="Arial"/>
          <w:b/>
          <w:lang w:val="sr-Cyrl-RS"/>
        </w:rPr>
      </w:pPr>
      <w:r w:rsidRPr="00C90919">
        <w:rPr>
          <w:rFonts w:ascii="Arial" w:hAnsi="Arial" w:cs="Arial"/>
          <w:b/>
          <w:lang w:val="sr-Cyrl-RS"/>
        </w:rPr>
        <w:t>Ч</w:t>
      </w:r>
      <w:r w:rsidR="0080341D" w:rsidRPr="00C90919">
        <w:rPr>
          <w:rFonts w:ascii="Arial" w:hAnsi="Arial" w:cs="Arial"/>
          <w:b/>
          <w:lang w:val="sr-Cyrl-RS"/>
        </w:rPr>
        <w:t>лан 2.</w:t>
      </w:r>
    </w:p>
    <w:p w:rsidR="00F942F5" w:rsidRPr="00C90919" w:rsidRDefault="00F942F5" w:rsidP="00C90919">
      <w:pPr>
        <w:spacing w:after="0"/>
        <w:jc w:val="center"/>
        <w:rPr>
          <w:rFonts w:ascii="Arial" w:hAnsi="Arial" w:cs="Arial"/>
          <w:b/>
          <w:lang w:val="sr-Cyrl-RS"/>
        </w:rPr>
      </w:pPr>
    </w:p>
    <w:p w:rsidR="00EA25F1" w:rsidRPr="00BB2C01" w:rsidRDefault="00E85AF8" w:rsidP="00B26259">
      <w:pPr>
        <w:spacing w:after="0"/>
        <w:ind w:left="60" w:firstLine="660"/>
        <w:jc w:val="both"/>
        <w:rPr>
          <w:rFonts w:ascii="Arial" w:hAnsi="Arial" w:cs="Arial"/>
          <w:color w:val="FF0000"/>
          <w:lang w:val="sr-Latn-CS"/>
        </w:rPr>
      </w:pPr>
      <w:r>
        <w:rPr>
          <w:rFonts w:ascii="Arial" w:hAnsi="Arial" w:cs="Arial"/>
          <w:lang w:val="sr-Cyrl-RS"/>
        </w:rPr>
        <w:t>Обвезници пореза на имовину који не воде пословне књиге, којима је пореска обавеза за непокретности из члана 1. ове одлуке настала до 31.децембра 2013.</w:t>
      </w:r>
      <w:r w:rsidR="00FE651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RS"/>
        </w:rPr>
        <w:t>године, дужни су да од 01.јануара 201</w:t>
      </w:r>
      <w:r w:rsidR="00951939">
        <w:rPr>
          <w:rFonts w:ascii="Arial" w:hAnsi="Arial" w:cs="Arial"/>
          <w:lang w:val="sr-Cyrl-RS"/>
        </w:rPr>
        <w:t>4</w:t>
      </w:r>
      <w:r>
        <w:rPr>
          <w:rFonts w:ascii="Arial" w:hAnsi="Arial" w:cs="Arial"/>
          <w:lang w:val="sr-Cyrl-RS"/>
        </w:rPr>
        <w:t>.</w:t>
      </w:r>
      <w:r w:rsidR="00FE651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RS"/>
        </w:rPr>
        <w:t>године до 31.03.2014.</w:t>
      </w:r>
      <w:r w:rsidR="00FE651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RS"/>
        </w:rPr>
        <w:t>године поднесу пореске пријаве за ту имовину</w:t>
      </w:r>
      <w:r w:rsidR="00BB2C01">
        <w:rPr>
          <w:rFonts w:ascii="Arial" w:hAnsi="Arial" w:cs="Arial"/>
          <w:lang w:val="sr-Latn-CS"/>
        </w:rPr>
        <w:t>.</w:t>
      </w:r>
    </w:p>
    <w:p w:rsidR="00ED4597" w:rsidRPr="00ED4597" w:rsidRDefault="00ED4597" w:rsidP="00B26259">
      <w:pPr>
        <w:spacing w:after="0"/>
        <w:ind w:left="60" w:firstLine="660"/>
        <w:jc w:val="both"/>
        <w:rPr>
          <w:rFonts w:ascii="Arial" w:hAnsi="Arial" w:cs="Arial"/>
          <w:color w:val="FF0000"/>
          <w:lang w:val="sr-Cyrl-RS"/>
        </w:rPr>
      </w:pPr>
    </w:p>
    <w:p w:rsidR="00E85AF8" w:rsidRDefault="00E85AF8" w:rsidP="00B26259">
      <w:pPr>
        <w:spacing w:after="0"/>
        <w:ind w:left="60" w:firstLine="66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RS"/>
        </w:rPr>
        <w:t>Пореска пријава из става 1. овог члана подносе се на обрасцу ППИ-2.</w:t>
      </w:r>
    </w:p>
    <w:p w:rsidR="00BA7286" w:rsidRPr="00BA7286" w:rsidRDefault="00BA7286" w:rsidP="00B26259">
      <w:pPr>
        <w:spacing w:after="0"/>
        <w:ind w:left="60" w:firstLine="660"/>
        <w:jc w:val="both"/>
        <w:rPr>
          <w:rFonts w:ascii="Arial" w:hAnsi="Arial" w:cs="Arial"/>
          <w:lang w:val="sr-Latn-CS"/>
        </w:rPr>
      </w:pPr>
    </w:p>
    <w:p w:rsidR="00596573" w:rsidRPr="00C90919" w:rsidRDefault="00596573" w:rsidP="00EA25F1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EA25F1" w:rsidRDefault="00EA25F1" w:rsidP="00C90919">
      <w:pPr>
        <w:spacing w:after="0"/>
        <w:ind w:left="60"/>
        <w:jc w:val="center"/>
        <w:rPr>
          <w:rFonts w:ascii="Arial" w:hAnsi="Arial" w:cs="Arial"/>
          <w:b/>
          <w:lang w:val="sr-Cyrl-RS"/>
        </w:rPr>
      </w:pPr>
      <w:r w:rsidRPr="00C90919">
        <w:rPr>
          <w:rFonts w:ascii="Arial" w:hAnsi="Arial" w:cs="Arial"/>
          <w:b/>
          <w:lang w:val="sr-Cyrl-RS"/>
        </w:rPr>
        <w:t>Члан 3.</w:t>
      </w:r>
    </w:p>
    <w:p w:rsidR="00A9266C" w:rsidRPr="00C90919" w:rsidRDefault="00A9266C" w:rsidP="00EA25F1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A9266C" w:rsidRDefault="00E85AF8" w:rsidP="00B26259">
      <w:pPr>
        <w:spacing w:after="0"/>
        <w:ind w:left="60" w:firstLine="66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RS"/>
        </w:rPr>
        <w:t>Лице из члана 2.</w:t>
      </w:r>
      <w:r w:rsidR="00BB2C01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RS"/>
        </w:rPr>
        <w:t xml:space="preserve">став1. ове </w:t>
      </w:r>
      <w:r w:rsidR="00BB2C01">
        <w:rPr>
          <w:rFonts w:ascii="Arial" w:hAnsi="Arial" w:cs="Arial"/>
          <w:lang w:val="sr-Cyrl-RS"/>
        </w:rPr>
        <w:t>О</w:t>
      </w:r>
      <w:r>
        <w:rPr>
          <w:rFonts w:ascii="Arial" w:hAnsi="Arial" w:cs="Arial"/>
          <w:lang w:val="sr-Cyrl-RS"/>
        </w:rPr>
        <w:t xml:space="preserve">длуке које не поднесе пореску пријаву у складу са чланом 2. </w:t>
      </w:r>
      <w:r w:rsidR="00756F04">
        <w:rPr>
          <w:rFonts w:ascii="Arial" w:hAnsi="Arial" w:cs="Arial"/>
          <w:lang w:val="sr-Cyrl-RS"/>
        </w:rPr>
        <w:t>С</w:t>
      </w:r>
      <w:r>
        <w:rPr>
          <w:rFonts w:ascii="Arial" w:hAnsi="Arial" w:cs="Arial"/>
          <w:lang w:val="sr-Cyrl-RS"/>
        </w:rPr>
        <w:t>тав</w:t>
      </w:r>
      <w:r w:rsidR="00756F04">
        <w:rPr>
          <w:rFonts w:ascii="Arial" w:hAnsi="Arial" w:cs="Arial"/>
          <w:lang w:val="sr-Cyrl-RS"/>
        </w:rPr>
        <w:t xml:space="preserve"> 1. </w:t>
      </w:r>
      <w:r w:rsidR="00BB2C01">
        <w:rPr>
          <w:rFonts w:ascii="Arial" w:hAnsi="Arial" w:cs="Arial"/>
          <w:lang w:val="sr-Cyrl-CS"/>
        </w:rPr>
        <w:t xml:space="preserve">и </w:t>
      </w:r>
      <w:r w:rsidR="00756F04">
        <w:rPr>
          <w:rFonts w:ascii="Arial" w:hAnsi="Arial" w:cs="Arial"/>
          <w:lang w:val="sr-Cyrl-RS"/>
        </w:rPr>
        <w:t xml:space="preserve"> 2. </w:t>
      </w:r>
      <w:r w:rsidR="00BB2C01">
        <w:rPr>
          <w:rFonts w:ascii="Arial" w:hAnsi="Arial" w:cs="Arial"/>
          <w:lang w:val="sr-Cyrl-RS"/>
        </w:rPr>
        <w:t>о</w:t>
      </w:r>
      <w:r w:rsidR="00756F04">
        <w:rPr>
          <w:rFonts w:ascii="Arial" w:hAnsi="Arial" w:cs="Arial"/>
          <w:lang w:val="sr-Cyrl-RS"/>
        </w:rPr>
        <w:t xml:space="preserve">ве </w:t>
      </w:r>
      <w:r w:rsidR="00BB2C01">
        <w:rPr>
          <w:rFonts w:ascii="Arial" w:hAnsi="Arial" w:cs="Arial"/>
          <w:lang w:val="sr-Cyrl-RS"/>
        </w:rPr>
        <w:t>Од</w:t>
      </w:r>
      <w:r w:rsidR="00756F04">
        <w:rPr>
          <w:rFonts w:ascii="Arial" w:hAnsi="Arial" w:cs="Arial"/>
          <w:lang w:val="sr-Cyrl-RS"/>
        </w:rPr>
        <w:t>луке, казниће се за прекршај новчаном казном у складу са законом којим се уређује порески поступак и пореска администрација.</w:t>
      </w:r>
    </w:p>
    <w:p w:rsidR="00BA7286" w:rsidRPr="00BA7286" w:rsidRDefault="00BA7286" w:rsidP="00B26259">
      <w:pPr>
        <w:spacing w:after="0"/>
        <w:ind w:left="60" w:firstLine="660"/>
        <w:jc w:val="both"/>
        <w:rPr>
          <w:rFonts w:ascii="Arial" w:hAnsi="Arial" w:cs="Arial"/>
          <w:lang w:val="sr-Latn-CS"/>
        </w:rPr>
      </w:pPr>
    </w:p>
    <w:p w:rsidR="00A9266C" w:rsidRPr="00C90919" w:rsidRDefault="00A9266C" w:rsidP="00EA25F1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A9266C" w:rsidRDefault="00596573" w:rsidP="00C90919">
      <w:pPr>
        <w:spacing w:after="0"/>
        <w:ind w:left="60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Cyrl-RS"/>
        </w:rPr>
        <w:t>Члан 4</w:t>
      </w:r>
      <w:r w:rsidR="00A9266C" w:rsidRPr="00C90919">
        <w:rPr>
          <w:rFonts w:ascii="Arial" w:hAnsi="Arial" w:cs="Arial"/>
          <w:b/>
          <w:lang w:val="sr-Cyrl-RS"/>
        </w:rPr>
        <w:t>.</w:t>
      </w:r>
    </w:p>
    <w:p w:rsidR="00BA7286" w:rsidRPr="00BA7286" w:rsidRDefault="00BA7286" w:rsidP="00C90919">
      <w:pPr>
        <w:spacing w:after="0"/>
        <w:ind w:left="60"/>
        <w:jc w:val="center"/>
        <w:rPr>
          <w:rFonts w:ascii="Arial" w:hAnsi="Arial" w:cs="Arial"/>
          <w:b/>
          <w:lang w:val="sr-Latn-CS"/>
        </w:rPr>
      </w:pPr>
    </w:p>
    <w:p w:rsidR="00756F04" w:rsidRDefault="00756F04" w:rsidP="00756F04">
      <w:pPr>
        <w:spacing w:after="0"/>
        <w:ind w:left="60" w:firstLine="66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RS"/>
        </w:rPr>
        <w:t xml:space="preserve">Ову </w:t>
      </w:r>
      <w:r w:rsidR="00BB2C01">
        <w:rPr>
          <w:rFonts w:ascii="Arial" w:hAnsi="Arial" w:cs="Arial"/>
          <w:lang w:val="sr-Cyrl-RS"/>
        </w:rPr>
        <w:t>О</w:t>
      </w:r>
      <w:r>
        <w:rPr>
          <w:rFonts w:ascii="Arial" w:hAnsi="Arial" w:cs="Arial"/>
          <w:lang w:val="sr-Cyrl-RS"/>
        </w:rPr>
        <w:t xml:space="preserve">длуку објавити у </w:t>
      </w:r>
      <w:r w:rsidR="00BB2C01">
        <w:rPr>
          <w:rFonts w:ascii="Arial" w:hAnsi="Arial" w:cs="Arial"/>
          <w:lang w:val="sr-Cyrl-RS"/>
        </w:rPr>
        <w:t>„</w:t>
      </w:r>
      <w:r>
        <w:rPr>
          <w:rFonts w:ascii="Arial" w:hAnsi="Arial" w:cs="Arial"/>
          <w:lang w:val="sr-Cyrl-RS"/>
        </w:rPr>
        <w:t>Службеном листу Града Ниша</w:t>
      </w:r>
      <w:r w:rsidR="00BB2C01"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  <w:lang w:val="sr-Cyrl-RS"/>
        </w:rPr>
        <w:t xml:space="preserve"> и на интернет страни званичне презентације</w:t>
      </w:r>
      <w:r w:rsidRPr="00C90919">
        <w:rPr>
          <w:rFonts w:ascii="Arial" w:hAnsi="Arial" w:cs="Arial"/>
          <w:lang w:val="sr-Cyrl-RS"/>
        </w:rPr>
        <w:t xml:space="preserve"> Града Ниша.</w:t>
      </w:r>
    </w:p>
    <w:p w:rsidR="00BA7286" w:rsidRPr="00BA7286" w:rsidRDefault="00BA7286" w:rsidP="00756F04">
      <w:pPr>
        <w:spacing w:after="0"/>
        <w:ind w:left="60" w:firstLine="6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center"/>
        <w:rPr>
          <w:rFonts w:ascii="Arial" w:hAnsi="Arial" w:cs="Arial"/>
          <w:b/>
          <w:lang w:val="sr-Latn-CS"/>
        </w:rPr>
      </w:pPr>
    </w:p>
    <w:p w:rsidR="00BA7286" w:rsidRDefault="00BA7286" w:rsidP="00C90919">
      <w:pPr>
        <w:spacing w:after="0"/>
        <w:ind w:left="60"/>
        <w:jc w:val="center"/>
        <w:rPr>
          <w:rFonts w:ascii="Arial" w:hAnsi="Arial" w:cs="Arial"/>
          <w:b/>
          <w:lang w:val="sr-Latn-CS"/>
        </w:rPr>
      </w:pPr>
    </w:p>
    <w:p w:rsidR="00F942F5" w:rsidRDefault="00756F04" w:rsidP="00C90919">
      <w:pPr>
        <w:spacing w:after="0"/>
        <w:ind w:left="60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Cyrl-RS"/>
        </w:rPr>
        <w:t>Члан 5.</w:t>
      </w:r>
    </w:p>
    <w:p w:rsidR="00BA7286" w:rsidRPr="00BA7286" w:rsidRDefault="00BA7286" w:rsidP="00C90919">
      <w:pPr>
        <w:spacing w:after="0"/>
        <w:ind w:left="60"/>
        <w:jc w:val="center"/>
        <w:rPr>
          <w:rFonts w:ascii="Arial" w:hAnsi="Arial" w:cs="Arial"/>
          <w:b/>
          <w:lang w:val="sr-Latn-CS"/>
        </w:rPr>
      </w:pPr>
    </w:p>
    <w:p w:rsidR="00A9266C" w:rsidRPr="00C90919" w:rsidRDefault="00A9266C" w:rsidP="00EA25F1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80341D" w:rsidRDefault="00A9266C" w:rsidP="00B26259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C90919">
        <w:rPr>
          <w:rFonts w:ascii="Arial" w:hAnsi="Arial" w:cs="Arial"/>
          <w:lang w:val="sr-Cyrl-RS"/>
        </w:rPr>
        <w:t xml:space="preserve">Ова </w:t>
      </w:r>
      <w:r w:rsidR="00BB2C01">
        <w:rPr>
          <w:rFonts w:ascii="Arial" w:hAnsi="Arial" w:cs="Arial"/>
          <w:lang w:val="sr-Cyrl-RS"/>
        </w:rPr>
        <w:t>О</w:t>
      </w:r>
      <w:r w:rsidRPr="00C90919">
        <w:rPr>
          <w:rFonts w:ascii="Arial" w:hAnsi="Arial" w:cs="Arial"/>
          <w:lang w:val="sr-Cyrl-RS"/>
        </w:rPr>
        <w:t>длука ступа на снагу</w:t>
      </w:r>
      <w:r w:rsidR="00C90919" w:rsidRPr="00C90919">
        <w:rPr>
          <w:rFonts w:ascii="Arial" w:hAnsi="Arial" w:cs="Arial"/>
          <w:lang w:val="sr-Cyrl-RS"/>
        </w:rPr>
        <w:t xml:space="preserve"> 8 дана од дана објављивања у ''Службеном листу Града Ниша''</w:t>
      </w:r>
      <w:r w:rsidR="00BB2C01">
        <w:rPr>
          <w:rFonts w:ascii="Arial" w:hAnsi="Arial" w:cs="Arial"/>
          <w:lang w:val="sr-Cyrl-RS"/>
        </w:rPr>
        <w:t xml:space="preserve">, </w:t>
      </w:r>
      <w:r w:rsidR="00C90919" w:rsidRPr="00C90919">
        <w:rPr>
          <w:rFonts w:ascii="Arial" w:hAnsi="Arial" w:cs="Arial"/>
          <w:lang w:val="sr-Cyrl-RS"/>
        </w:rPr>
        <w:t xml:space="preserve"> а примењиваће се од 01.01.2014.</w:t>
      </w:r>
      <w:r w:rsidR="00FE6514">
        <w:rPr>
          <w:rFonts w:ascii="Arial" w:hAnsi="Arial" w:cs="Arial"/>
          <w:lang w:val="sr-Latn-CS"/>
        </w:rPr>
        <w:t xml:space="preserve"> </w:t>
      </w:r>
      <w:r w:rsidR="00C90919" w:rsidRPr="00C90919">
        <w:rPr>
          <w:rFonts w:ascii="Arial" w:hAnsi="Arial" w:cs="Arial"/>
          <w:lang w:val="sr-Cyrl-RS"/>
        </w:rPr>
        <w:t>године.</w:t>
      </w:r>
    </w:p>
    <w:p w:rsidR="00596573" w:rsidRDefault="00596573" w:rsidP="00C90919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596573" w:rsidRPr="00C90919" w:rsidRDefault="00596573" w:rsidP="00C90919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C90919" w:rsidRPr="00C90919" w:rsidRDefault="00C90919" w:rsidP="00C90919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BA7286" w:rsidRPr="00EF066D" w:rsidRDefault="00BA7286" w:rsidP="00BA7286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F066D">
        <w:rPr>
          <w:rFonts w:ascii="Times New Roman" w:hAnsi="Times New Roman" w:cs="Times New Roman"/>
          <w:b/>
          <w:bCs/>
          <w:color w:val="000000"/>
          <w:lang w:val="ru-RU"/>
        </w:rPr>
        <w:t>Б</w:t>
      </w:r>
      <w:r w:rsidRPr="00EF066D">
        <w:rPr>
          <w:rFonts w:ascii="Times New Roman" w:hAnsi="Times New Roman" w:cs="Times New Roman"/>
          <w:b/>
          <w:bCs/>
          <w:color w:val="000000"/>
        </w:rPr>
        <w:t xml:space="preserve">рој </w:t>
      </w:r>
      <w:r w:rsidRPr="00EF066D">
        <w:rPr>
          <w:rFonts w:ascii="Times New Roman" w:hAnsi="Times New Roman" w:cs="Times New Roman"/>
          <w:b/>
          <w:bCs/>
          <w:color w:val="000000"/>
          <w:lang w:val="ru-RU"/>
        </w:rPr>
        <w:t>:__________________</w:t>
      </w:r>
    </w:p>
    <w:p w:rsidR="00BA7286" w:rsidRDefault="00BA7286" w:rsidP="00BA7286">
      <w:pPr>
        <w:jc w:val="both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EF066D">
        <w:rPr>
          <w:rFonts w:ascii="Times New Roman" w:hAnsi="Times New Roman" w:cs="Times New Roman"/>
          <w:b/>
          <w:bCs/>
          <w:color w:val="000000"/>
        </w:rPr>
        <w:t xml:space="preserve">Датум : </w:t>
      </w:r>
      <w:r w:rsidRPr="00EF066D">
        <w:rPr>
          <w:rFonts w:ascii="Times New Roman" w:hAnsi="Times New Roman" w:cs="Times New Roman"/>
          <w:b/>
          <w:bCs/>
          <w:color w:val="000000"/>
          <w:lang w:val="sr-Cyrl-RS"/>
        </w:rPr>
        <w:t>________________</w:t>
      </w:r>
    </w:p>
    <w:p w:rsidR="00BA7286" w:rsidRPr="00852BBA" w:rsidRDefault="00BA7286" w:rsidP="00BA7286">
      <w:pPr>
        <w:jc w:val="both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BA7286" w:rsidRPr="00EF066D" w:rsidRDefault="00BA7286" w:rsidP="00BA7286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F066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F066D">
        <w:rPr>
          <w:rFonts w:ascii="Times New Roman" w:hAnsi="Times New Roman" w:cs="Times New Roman"/>
          <w:b/>
          <w:bCs/>
          <w:color w:val="000000"/>
          <w:lang w:val="sr-Cyrl-RS"/>
        </w:rPr>
        <w:t xml:space="preserve">                                                   </w:t>
      </w:r>
      <w:r w:rsidRPr="00EF066D">
        <w:rPr>
          <w:rFonts w:ascii="Times New Roman" w:hAnsi="Times New Roman" w:cs="Times New Roman"/>
          <w:b/>
          <w:bCs/>
          <w:color w:val="000000"/>
          <w:lang w:val="ru-RU"/>
        </w:rPr>
        <w:t>СКУПШТИНА  ГРАДА  НИША</w:t>
      </w:r>
    </w:p>
    <w:p w:rsidR="00BA7286" w:rsidRPr="00A736CC" w:rsidRDefault="00BA7286" w:rsidP="00BA7286">
      <w:pPr>
        <w:jc w:val="right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BA7286" w:rsidRPr="00EF066D" w:rsidRDefault="00BA7286" w:rsidP="00BA7286">
      <w:pPr>
        <w:jc w:val="right"/>
        <w:rPr>
          <w:rFonts w:ascii="Times New Roman" w:hAnsi="Times New Roman" w:cs="Times New Roman"/>
          <w:b/>
          <w:bCs/>
          <w:color w:val="000000"/>
        </w:rPr>
      </w:pPr>
      <w:r w:rsidRPr="00EF066D">
        <w:rPr>
          <w:rFonts w:ascii="Times New Roman" w:hAnsi="Times New Roman" w:cs="Times New Roman"/>
          <w:b/>
          <w:bCs/>
          <w:color w:val="000000"/>
        </w:rPr>
        <w:t>ПРЕДСЕДНИК СКУПШТИНЕ</w:t>
      </w:r>
    </w:p>
    <w:p w:rsidR="00BA7286" w:rsidRPr="00EF066D" w:rsidRDefault="00BA7286" w:rsidP="00BA7286">
      <w:pPr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BA7286" w:rsidRPr="00EF066D" w:rsidRDefault="00BA7286" w:rsidP="00BA7286">
      <w:pPr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EF066D">
        <w:rPr>
          <w:rFonts w:ascii="Times New Roman" w:hAnsi="Times New Roman" w:cs="Times New Roman"/>
          <w:b/>
          <w:bCs/>
          <w:color w:val="000000"/>
          <w:lang w:val="sr-Cyrl-RS"/>
        </w:rPr>
        <w:t xml:space="preserve">                                                                                                       Проф. др Миле Илић   </w:t>
      </w:r>
    </w:p>
    <w:p w:rsidR="00F942F5" w:rsidRDefault="00F942F5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83229A" w:rsidRDefault="0083229A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BA7286" w:rsidRDefault="00BA7286" w:rsidP="00C90919">
      <w:pPr>
        <w:spacing w:after="0"/>
        <w:ind w:left="60"/>
        <w:jc w:val="both"/>
        <w:rPr>
          <w:rFonts w:ascii="Arial" w:hAnsi="Arial" w:cs="Arial"/>
          <w:lang w:val="sr-Latn-CS"/>
        </w:rPr>
      </w:pPr>
    </w:p>
    <w:p w:rsidR="0083229A" w:rsidRDefault="0083229A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951939" w:rsidRDefault="00951939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951939" w:rsidRPr="00F864AD" w:rsidRDefault="00951939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F942F5" w:rsidRDefault="00134C12" w:rsidP="00134C12">
      <w:pPr>
        <w:spacing w:after="0"/>
        <w:ind w:left="60"/>
        <w:jc w:val="center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CS"/>
        </w:rPr>
        <w:t>О Б Р А З Л О Ж Е Њ Е</w:t>
      </w: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Pr="00F864AD" w:rsidRDefault="00134C12" w:rsidP="00134C1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CS"/>
        </w:rPr>
        <w:t>З</w:t>
      </w:r>
      <w:r w:rsidR="00840C40" w:rsidRPr="00F864AD">
        <w:rPr>
          <w:rFonts w:ascii="Arial" w:hAnsi="Arial" w:cs="Arial"/>
          <w:lang w:val="sr-Cyrl-CS"/>
        </w:rPr>
        <w:t>А</w:t>
      </w:r>
      <w:r w:rsidRPr="00F864AD">
        <w:rPr>
          <w:rFonts w:ascii="Arial" w:hAnsi="Arial" w:cs="Arial"/>
          <w:lang w:val="sr-Cyrl-CS"/>
        </w:rPr>
        <w:t>КОНСКИ ОСНОВ</w:t>
      </w:r>
    </w:p>
    <w:p w:rsidR="00134C12" w:rsidRPr="00F864AD" w:rsidRDefault="00134C12" w:rsidP="00134C12">
      <w:pPr>
        <w:spacing w:after="0"/>
        <w:jc w:val="both"/>
        <w:rPr>
          <w:rFonts w:ascii="Arial" w:hAnsi="Arial" w:cs="Arial"/>
          <w:lang w:val="sr-Cyrl-CS"/>
        </w:rPr>
      </w:pPr>
    </w:p>
    <w:p w:rsidR="00E558E4" w:rsidRDefault="00134C12" w:rsidP="00E558E4">
      <w:pPr>
        <w:spacing w:after="0"/>
        <w:ind w:firstLine="72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CS"/>
        </w:rPr>
        <w:t xml:space="preserve">Законски основ за доношење ове одлуке је члан </w:t>
      </w:r>
      <w:r w:rsidR="00E558E4">
        <w:rPr>
          <w:rFonts w:ascii="Arial" w:hAnsi="Arial" w:cs="Arial"/>
          <w:lang w:val="sr-Latn-CS"/>
        </w:rPr>
        <w:t>36</w:t>
      </w:r>
      <w:r w:rsidR="00E558E4">
        <w:rPr>
          <w:rFonts w:ascii="Arial" w:hAnsi="Arial" w:cs="Arial"/>
          <w:lang w:val="sr-Cyrl-CS"/>
        </w:rPr>
        <w:t xml:space="preserve">. </w:t>
      </w:r>
      <w:r w:rsidR="00E558E4" w:rsidRPr="00C90919">
        <w:rPr>
          <w:rFonts w:ascii="Arial" w:hAnsi="Arial" w:cs="Arial"/>
          <w:lang w:val="sr-Cyrl-RS"/>
        </w:rPr>
        <w:t>Закона о</w:t>
      </w:r>
      <w:r w:rsidR="00E558E4">
        <w:rPr>
          <w:rFonts w:ascii="Arial" w:hAnsi="Arial" w:cs="Arial"/>
          <w:lang w:val="sr-Latn-CS"/>
        </w:rPr>
        <w:t xml:space="preserve"> </w:t>
      </w:r>
      <w:r w:rsidR="00E558E4">
        <w:rPr>
          <w:rFonts w:ascii="Arial" w:hAnsi="Arial" w:cs="Arial"/>
          <w:lang w:val="sr-Cyrl-CS"/>
        </w:rPr>
        <w:t>изменама и допунама Закона</w:t>
      </w:r>
      <w:r w:rsidR="00E558E4" w:rsidRPr="00C90919">
        <w:rPr>
          <w:rFonts w:ascii="Arial" w:hAnsi="Arial" w:cs="Arial"/>
          <w:lang w:val="sr-Cyrl-RS"/>
        </w:rPr>
        <w:t xml:space="preserve"> порезима на имовину (''Службени гласник РС'' број 47/2013) </w:t>
      </w:r>
      <w:r w:rsidR="00E558E4">
        <w:rPr>
          <w:rFonts w:ascii="Arial" w:hAnsi="Arial" w:cs="Arial"/>
          <w:lang w:val="sr-Cyrl-RS"/>
        </w:rPr>
        <w:t>.</w:t>
      </w:r>
    </w:p>
    <w:p w:rsidR="00134C12" w:rsidRDefault="00134C12" w:rsidP="00E558E4">
      <w:pPr>
        <w:spacing w:after="0"/>
        <w:ind w:firstLine="72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CS"/>
        </w:rPr>
        <w:t xml:space="preserve">Статутом Града Ниша,  у члану 37. став 1. тачка 7. </w:t>
      </w:r>
      <w:r w:rsidRPr="00F864AD">
        <w:rPr>
          <w:rFonts w:ascii="Arial" w:hAnsi="Arial" w:cs="Arial"/>
          <w:lang w:val="sr-Cyrl-RS"/>
        </w:rPr>
        <w:t>(''Службени лист Града Ниша'', број 88/2008), утврђена је надлежност Сгупштине Града Ниша за доношење прописа и других општих аката.</w:t>
      </w: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840C40" w:rsidRPr="00F864AD" w:rsidRDefault="00840C40" w:rsidP="004B450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CS"/>
        </w:rPr>
        <w:t>РАЗЛОЗИ ЗА ДОНОШЕЊЕ ОДЛУКЕ</w:t>
      </w: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Default="00E558E4" w:rsidP="00260AE3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Чланом </w:t>
      </w:r>
      <w:r w:rsidR="00260AE3">
        <w:rPr>
          <w:rFonts w:ascii="Arial" w:hAnsi="Arial" w:cs="Arial"/>
          <w:lang w:val="sr-Cyrl-RS"/>
        </w:rPr>
        <w:t>6а</w:t>
      </w:r>
      <w:r>
        <w:rPr>
          <w:rFonts w:ascii="Arial" w:hAnsi="Arial" w:cs="Arial"/>
          <w:lang w:val="sr-Cyrl-RS"/>
        </w:rPr>
        <w:t xml:space="preserve">. Закона о порезима на имовину, који је ступио на снагу 30.05.2013. године, а чије се одредбе примењују од 01.01.2014.године, </w:t>
      </w:r>
      <w:r w:rsidR="00260AE3">
        <w:rPr>
          <w:rFonts w:ascii="Arial" w:hAnsi="Arial" w:cs="Arial"/>
          <w:lang w:val="sr-Cyrl-RS"/>
        </w:rPr>
        <w:t>за сврху утврђивања основице пореза на имовину, непокретности се разврставају у следеће групе</w:t>
      </w:r>
      <w:r w:rsidR="00BB2C01">
        <w:rPr>
          <w:rFonts w:ascii="Arial" w:hAnsi="Arial" w:cs="Arial"/>
          <w:lang w:val="sr-Cyrl-RS"/>
        </w:rPr>
        <w:t xml:space="preserve"> одговарајућих непокретности</w:t>
      </w:r>
      <w:r w:rsidR="00260AE3">
        <w:rPr>
          <w:rFonts w:ascii="Arial" w:hAnsi="Arial" w:cs="Arial"/>
          <w:lang w:val="sr-Cyrl-RS"/>
        </w:rPr>
        <w:t>:</w:t>
      </w:r>
    </w:p>
    <w:p w:rsidR="00260AE3" w:rsidRDefault="00260AE3" w:rsidP="00260AE3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Грађевинско земљиште</w:t>
      </w:r>
    </w:p>
    <w:p w:rsidR="00260AE3" w:rsidRDefault="00260AE3" w:rsidP="00260AE3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Пољопривредно земљиште</w:t>
      </w:r>
    </w:p>
    <w:p w:rsidR="00260AE3" w:rsidRDefault="00260AE3" w:rsidP="00260AE3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Шумско земљиште</w:t>
      </w:r>
    </w:p>
    <w:p w:rsidR="00260AE3" w:rsidRDefault="00260AE3" w:rsidP="00260AE3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Станови</w:t>
      </w:r>
    </w:p>
    <w:p w:rsidR="00260AE3" w:rsidRDefault="00260AE3" w:rsidP="00260AE3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Куће за становање </w:t>
      </w:r>
    </w:p>
    <w:p w:rsidR="00260AE3" w:rsidRDefault="00260AE3" w:rsidP="00260AE3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Пословне зграде и други (надземни и подземни) грађевински објекти који служе за обављање делатности</w:t>
      </w:r>
    </w:p>
    <w:p w:rsidR="00260AE3" w:rsidRDefault="00260AE3" w:rsidP="00260AE3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Гараже и гаражна места</w:t>
      </w:r>
    </w:p>
    <w:p w:rsidR="00260AE3" w:rsidRPr="00260AE3" w:rsidRDefault="00260AE3" w:rsidP="00260AE3">
      <w:pPr>
        <w:spacing w:after="0"/>
        <w:jc w:val="both"/>
        <w:rPr>
          <w:rFonts w:ascii="Arial" w:hAnsi="Arial" w:cs="Arial"/>
          <w:lang w:val="sr-Cyrl-RS"/>
        </w:rPr>
      </w:pPr>
    </w:p>
    <w:p w:rsidR="00D202BA" w:rsidRPr="00D202BA" w:rsidRDefault="00D202BA" w:rsidP="00D202BA">
      <w:pPr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Одредбама Закона о порезима на имовину који је на снази до 31.12.2013.године, пољопривредно и шумско земљиште није било предмето порезивања код обвезника који не воде пословне књиге. Порез на имовину </w:t>
      </w:r>
      <w:r w:rsidR="00AA6041">
        <w:rPr>
          <w:rFonts w:ascii="Arial" w:hAnsi="Arial" w:cs="Arial"/>
          <w:lang w:val="sr-Cyrl-RS"/>
        </w:rPr>
        <w:t>с</w:t>
      </w:r>
      <w:r>
        <w:rPr>
          <w:rFonts w:ascii="Arial" w:hAnsi="Arial" w:cs="Arial"/>
          <w:lang w:val="sr-Cyrl-RS"/>
        </w:rPr>
        <w:t xml:space="preserve">е осим на објекте плаћао само на право својине, коришћења и закупа грађевинског земљишта површине преко 10 ари. Пошто орган јединице локалне самоуправе надлежан за спровођење закона о порезима на имовину, не поседује податке о пореским обвезницима пореза на имовину на земљиште, неопходно је прописивање обавезе подношења пореских пријава за земљиште, како би се </w:t>
      </w:r>
      <w:r w:rsidR="007D2271">
        <w:rPr>
          <w:rFonts w:ascii="Arial" w:hAnsi="Arial" w:cs="Arial"/>
          <w:lang w:val="sr-Cyrl-RS"/>
        </w:rPr>
        <w:t>комплетирала и ажурирала  база података.</w:t>
      </w:r>
      <w:r>
        <w:rPr>
          <w:rFonts w:ascii="Arial" w:hAnsi="Arial" w:cs="Arial"/>
          <w:lang w:val="sr-Cyrl-RS"/>
        </w:rPr>
        <w:t xml:space="preserve"> </w:t>
      </w:r>
    </w:p>
    <w:p w:rsidR="004B450E" w:rsidRPr="00F864AD" w:rsidRDefault="004B450E" w:rsidP="004B450E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4B450E" w:rsidRPr="00F864AD" w:rsidRDefault="004B450E" w:rsidP="004B450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RS"/>
        </w:rPr>
        <w:t>АНАЛИЗА ЕФЕКАТА</w:t>
      </w: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Default="00F864AD" w:rsidP="00F864AD">
      <w:pPr>
        <w:spacing w:after="0"/>
        <w:ind w:left="60" w:firstLine="66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CS"/>
        </w:rPr>
        <w:t xml:space="preserve">Ефекти који се очекују доношењем ове одлуке се огледају у </w:t>
      </w:r>
      <w:r w:rsidR="007D2271">
        <w:rPr>
          <w:rFonts w:ascii="Arial" w:hAnsi="Arial" w:cs="Arial"/>
          <w:lang w:val="sr-Cyrl-CS"/>
        </w:rPr>
        <w:t>повећању броја пореских обвезника и повећању прихода од пореза на имовину.</w:t>
      </w:r>
    </w:p>
    <w:p w:rsidR="00951939" w:rsidRDefault="00951939" w:rsidP="00F864AD">
      <w:pPr>
        <w:spacing w:after="0"/>
        <w:ind w:left="60" w:firstLine="660"/>
        <w:jc w:val="both"/>
        <w:rPr>
          <w:rFonts w:ascii="Arial" w:hAnsi="Arial" w:cs="Arial"/>
          <w:lang w:val="sr-Cyrl-CS"/>
        </w:rPr>
      </w:pPr>
    </w:p>
    <w:p w:rsidR="00951939" w:rsidRPr="007D2271" w:rsidRDefault="00951939" w:rsidP="00F864AD">
      <w:pPr>
        <w:spacing w:after="0"/>
        <w:ind w:left="60" w:firstLine="660"/>
        <w:jc w:val="both"/>
        <w:rPr>
          <w:rFonts w:ascii="Arial" w:hAnsi="Arial" w:cs="Arial"/>
          <w:lang w:val="sr-Cyrl-CS"/>
        </w:rPr>
      </w:pPr>
    </w:p>
    <w:p w:rsidR="00F864AD" w:rsidRPr="00F864AD" w:rsidRDefault="00F864AD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F864AD" w:rsidRPr="00F85F42" w:rsidRDefault="00F864AD" w:rsidP="00F85F4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Cyrl-RS"/>
        </w:rPr>
      </w:pPr>
      <w:r w:rsidRPr="00F85F42">
        <w:rPr>
          <w:rFonts w:ascii="Arial" w:hAnsi="Arial" w:cs="Arial"/>
          <w:lang w:val="sr-Cyrl-RS"/>
        </w:rPr>
        <w:t xml:space="preserve">ФИНАНСИЈСКА СРЕДСТВА ПОТРЕБНА ЗА СПРОВОЂЕЊЕ ОВЕ ОДЛУКЕ </w:t>
      </w:r>
    </w:p>
    <w:p w:rsidR="00F864AD" w:rsidRPr="00F864AD" w:rsidRDefault="00F864AD" w:rsidP="00F864AD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F864AD" w:rsidRPr="00F864AD" w:rsidRDefault="00F864AD" w:rsidP="00F864AD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RS"/>
        </w:rPr>
        <w:t xml:space="preserve"> За спровођење ове одлуке није потребно обезбедити додатна средства у буџету Града Ниша.</w:t>
      </w:r>
    </w:p>
    <w:p w:rsidR="00134C12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951939" w:rsidRDefault="00951939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951939" w:rsidRDefault="00951939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E70E3A" w:rsidRPr="00F864AD" w:rsidRDefault="00E70E3A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53113" w:rsidRDefault="00153113" w:rsidP="00153113">
      <w:pPr>
        <w:spacing w:after="0"/>
        <w:ind w:left="6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УПРАВА ЗА ФИНАНСИЈЕ, ИЗВОРНЕ ПРИХОДЕ ЛОКАЛНЕ </w:t>
      </w:r>
    </w:p>
    <w:p w:rsidR="00153113" w:rsidRPr="00BA6B09" w:rsidRDefault="00153113" w:rsidP="00153113">
      <w:pPr>
        <w:spacing w:after="0"/>
        <w:ind w:left="6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САМОУПРАВЕ И ЈАВНЕ НАБАВКЕ </w:t>
      </w:r>
    </w:p>
    <w:p w:rsidR="00153113" w:rsidRPr="00BA6B09" w:rsidRDefault="00153113" w:rsidP="00153113">
      <w:pPr>
        <w:spacing w:after="0"/>
        <w:ind w:left="60"/>
        <w:jc w:val="center"/>
        <w:rPr>
          <w:rFonts w:ascii="Arial" w:hAnsi="Arial" w:cs="Arial"/>
          <w:lang w:val="sr-Cyrl-RS"/>
        </w:rPr>
      </w:pPr>
    </w:p>
    <w:p w:rsidR="00153113" w:rsidRPr="00BA6B09" w:rsidRDefault="00153113" w:rsidP="00153113">
      <w:pPr>
        <w:spacing w:after="0"/>
        <w:ind w:left="60"/>
        <w:jc w:val="center"/>
        <w:rPr>
          <w:rFonts w:ascii="Arial" w:hAnsi="Arial" w:cs="Arial"/>
          <w:lang w:val="sr-Cyrl-RS"/>
        </w:rPr>
      </w:pPr>
    </w:p>
    <w:p w:rsidR="00153113" w:rsidRDefault="00153113" w:rsidP="00153113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 НАЧЕЛНИК,</w:t>
      </w:r>
    </w:p>
    <w:p w:rsidR="00DF3C4A" w:rsidRPr="00DF3C4A" w:rsidRDefault="00DF3C4A" w:rsidP="00153113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134C12" w:rsidRDefault="00153113" w:rsidP="00DF3C4A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</w:t>
      </w:r>
      <w:r w:rsidR="00D84906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Миљан Стевановић</w:t>
      </w:r>
    </w:p>
    <w:sectPr w:rsidR="00134C12" w:rsidSect="00BB2C01">
      <w:pgSz w:w="12240" w:h="15840"/>
      <w:pgMar w:top="1135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B93"/>
    <w:multiLevelType w:val="hybridMultilevel"/>
    <w:tmpl w:val="9866F028"/>
    <w:lvl w:ilvl="0" w:tplc="74102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747"/>
    <w:multiLevelType w:val="hybridMultilevel"/>
    <w:tmpl w:val="1DE2EED6"/>
    <w:lvl w:ilvl="0" w:tplc="DC72BE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4B918B2"/>
    <w:multiLevelType w:val="hybridMultilevel"/>
    <w:tmpl w:val="7A7A1D2A"/>
    <w:lvl w:ilvl="0" w:tplc="A734F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AB55A9"/>
    <w:multiLevelType w:val="hybridMultilevel"/>
    <w:tmpl w:val="186EA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36315"/>
    <w:multiLevelType w:val="hybridMultilevel"/>
    <w:tmpl w:val="438E2CE4"/>
    <w:lvl w:ilvl="0" w:tplc="FD5EC258">
      <w:start w:val="3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D2C100B"/>
    <w:multiLevelType w:val="hybridMultilevel"/>
    <w:tmpl w:val="251878C2"/>
    <w:lvl w:ilvl="0" w:tplc="0FC41C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25"/>
    <w:rsid w:val="000B1822"/>
    <w:rsid w:val="000C07CB"/>
    <w:rsid w:val="000F076B"/>
    <w:rsid w:val="00134C12"/>
    <w:rsid w:val="00153113"/>
    <w:rsid w:val="00161893"/>
    <w:rsid w:val="001A3606"/>
    <w:rsid w:val="00213DE1"/>
    <w:rsid w:val="002258F8"/>
    <w:rsid w:val="00243225"/>
    <w:rsid w:val="00260AE3"/>
    <w:rsid w:val="002E4F17"/>
    <w:rsid w:val="003F37F4"/>
    <w:rsid w:val="0045678D"/>
    <w:rsid w:val="00487220"/>
    <w:rsid w:val="004B450E"/>
    <w:rsid w:val="004F0142"/>
    <w:rsid w:val="00561268"/>
    <w:rsid w:val="00596573"/>
    <w:rsid w:val="00622C9D"/>
    <w:rsid w:val="006261FE"/>
    <w:rsid w:val="00707397"/>
    <w:rsid w:val="00743779"/>
    <w:rsid w:val="00756F04"/>
    <w:rsid w:val="00763432"/>
    <w:rsid w:val="007D2271"/>
    <w:rsid w:val="007F4106"/>
    <w:rsid w:val="007F44C7"/>
    <w:rsid w:val="0080341D"/>
    <w:rsid w:val="0083229A"/>
    <w:rsid w:val="00840C40"/>
    <w:rsid w:val="00870839"/>
    <w:rsid w:val="00885784"/>
    <w:rsid w:val="00906D53"/>
    <w:rsid w:val="00951939"/>
    <w:rsid w:val="009E0613"/>
    <w:rsid w:val="00A565D3"/>
    <w:rsid w:val="00A9266C"/>
    <w:rsid w:val="00AA6041"/>
    <w:rsid w:val="00AE754B"/>
    <w:rsid w:val="00B22B0E"/>
    <w:rsid w:val="00B26259"/>
    <w:rsid w:val="00BA7286"/>
    <w:rsid w:val="00BB2C01"/>
    <w:rsid w:val="00BF73C1"/>
    <w:rsid w:val="00C15269"/>
    <w:rsid w:val="00C320AD"/>
    <w:rsid w:val="00C36C9B"/>
    <w:rsid w:val="00C82E5F"/>
    <w:rsid w:val="00C90919"/>
    <w:rsid w:val="00CB6675"/>
    <w:rsid w:val="00CC384F"/>
    <w:rsid w:val="00CD68CF"/>
    <w:rsid w:val="00D202BA"/>
    <w:rsid w:val="00D74E27"/>
    <w:rsid w:val="00D84906"/>
    <w:rsid w:val="00D84A1B"/>
    <w:rsid w:val="00DF3C4A"/>
    <w:rsid w:val="00E10725"/>
    <w:rsid w:val="00E45150"/>
    <w:rsid w:val="00E558E4"/>
    <w:rsid w:val="00E70E3A"/>
    <w:rsid w:val="00E85AF8"/>
    <w:rsid w:val="00EA25F1"/>
    <w:rsid w:val="00EC0A5F"/>
    <w:rsid w:val="00ED4597"/>
    <w:rsid w:val="00EE5CB6"/>
    <w:rsid w:val="00EF73D3"/>
    <w:rsid w:val="00F46038"/>
    <w:rsid w:val="00F85F42"/>
    <w:rsid w:val="00F864AD"/>
    <w:rsid w:val="00F942F5"/>
    <w:rsid w:val="00FC712C"/>
    <w:rsid w:val="00FD3AE2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Ratko Živković</dc:creator>
  <cp:lastModifiedBy>Brankica Vukić</cp:lastModifiedBy>
  <cp:revision>34</cp:revision>
  <cp:lastPrinted>2013-10-29T16:28:00Z</cp:lastPrinted>
  <dcterms:created xsi:type="dcterms:W3CDTF">2013-10-28T10:45:00Z</dcterms:created>
  <dcterms:modified xsi:type="dcterms:W3CDTF">2013-11-23T15:14:00Z</dcterms:modified>
</cp:coreProperties>
</file>